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360" w:type="dxa"/>
        <w:tblBorders>
          <w:top w:val="thinThickThinLargeGap" w:sz="24" w:space="0" w:color="000000"/>
          <w:left w:val="thinThickThinLargeGap" w:sz="24" w:space="0" w:color="000000"/>
          <w:bottom w:val="thinThickThinLargeGap" w:sz="24" w:space="0" w:color="000000"/>
          <w:right w:val="thinThickThinLargeGap" w:sz="24" w:space="0" w:color="000000"/>
          <w:insideH w:val="thinThickThinLargeGap" w:sz="24" w:space="0" w:color="000000"/>
          <w:insideV w:val="thinThickThinLargeGap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280E" w:rsidTr="00AC147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47C" w:rsidRDefault="00AC147C" w:rsidP="00AC147C">
            <w:pPr>
              <w:jc w:val="center"/>
              <w:rPr>
                <w:rFonts w:ascii="Impact" w:eastAsia="Impact" w:hAnsi="Impact" w:cs="Impact"/>
                <w:sz w:val="28"/>
                <w:szCs w:val="28"/>
              </w:rPr>
            </w:pPr>
          </w:p>
          <w:p w:rsidR="00AC147C" w:rsidRPr="00AC147C" w:rsidRDefault="00BA2281" w:rsidP="00AC147C">
            <w:pPr>
              <w:jc w:val="center"/>
              <w:rPr>
                <w:rFonts w:ascii="Impact" w:eastAsia="Impact" w:hAnsi="Impact" w:cs="Impact"/>
                <w:sz w:val="28"/>
                <w:szCs w:val="28"/>
              </w:rPr>
            </w:pPr>
            <w:r>
              <w:rPr>
                <w:rFonts w:ascii="Impact" w:eastAsia="Impact" w:hAnsi="Impact" w:cs="Impact"/>
                <w:sz w:val="28"/>
                <w:szCs w:val="28"/>
              </w:rPr>
              <w:t>Rubrics Tips to Enhance Student Learning</w:t>
            </w:r>
          </w:p>
          <w:p w:rsidR="00BD2780" w:rsidRDefault="00BD2780" w:rsidP="00BD2780">
            <w:pPr>
              <w:spacing w:after="0" w:line="480" w:lineRule="auto"/>
              <w:ind w:left="7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  <w:p w:rsidR="0071280E" w:rsidRDefault="00BA2281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 rubric for students in advance.</w:t>
            </w:r>
          </w:p>
          <w:p w:rsidR="0071280E" w:rsidRDefault="00BA2281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Discuss rubric &amp; grading criteria with students</w:t>
            </w:r>
          </w:p>
          <w:p w:rsidR="0071280E" w:rsidRDefault="00BA2281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Rubric should contain as much information as possible without being too lengthy.</w:t>
            </w:r>
          </w:p>
          <w:p w:rsidR="0071280E" w:rsidRDefault="00BA2281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Rubric should be clear enough for students to understand expectations even when you are not available.</w:t>
            </w:r>
          </w:p>
          <w:p w:rsidR="0071280E" w:rsidRDefault="00BA2281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Creating rubrics</w:t>
            </w:r>
          </w:p>
          <w:p w:rsidR="0071280E" w:rsidRDefault="00BA2281">
            <w:pPr>
              <w:numPr>
                <w:ilvl w:val="0"/>
                <w:numId w:val="1"/>
              </w:numPr>
              <w:spacing w:after="0" w:line="480" w:lineRule="auto"/>
              <w:ind w:left="108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rubric before plan/modify assignment</w:t>
            </w:r>
          </w:p>
          <w:p w:rsidR="0071280E" w:rsidRDefault="00BA2281">
            <w:pPr>
              <w:numPr>
                <w:ilvl w:val="0"/>
                <w:numId w:val="1"/>
              </w:numPr>
              <w:spacing w:after="0" w:line="480" w:lineRule="auto"/>
              <w:ind w:left="108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Find examples to modify when creating new rubric</w:t>
            </w:r>
          </w:p>
          <w:p w:rsidR="0071280E" w:rsidRDefault="00BA2281">
            <w:pPr>
              <w:numPr>
                <w:ilvl w:val="0"/>
                <w:numId w:val="1"/>
              </w:numPr>
              <w:spacing w:after="0" w:line="480" w:lineRule="auto"/>
              <w:ind w:left="108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a minimum of 3 criteria (categories), 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more than 8 </w:t>
            </w:r>
          </w:p>
          <w:p w:rsidR="0071280E" w:rsidRDefault="00BA2281">
            <w:pPr>
              <w:numPr>
                <w:ilvl w:val="0"/>
                <w:numId w:val="1"/>
              </w:numPr>
              <w:spacing w:after="0" w:line="480" w:lineRule="auto"/>
              <w:ind w:left="108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Focus criteria on “what counts”</w:t>
            </w:r>
          </w:p>
          <w:p w:rsidR="0071280E" w:rsidRDefault="00BA2281">
            <w:pPr>
              <w:numPr>
                <w:ilvl w:val="0"/>
                <w:numId w:val="1"/>
              </w:numPr>
              <w:spacing w:after="0" w:line="480" w:lineRule="auto"/>
              <w:ind w:left="108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Avoid criteria (categories) that are too big</w:t>
            </w:r>
          </w:p>
          <w:p w:rsidR="0071280E" w:rsidRDefault="00BA2281">
            <w:pPr>
              <w:numPr>
                <w:ilvl w:val="0"/>
                <w:numId w:val="1"/>
              </w:numPr>
              <w:spacing w:after="0" w:line="480" w:lineRule="auto"/>
              <w:ind w:left="108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Highest level or expectations to the left side of page.</w:t>
            </w:r>
          </w:p>
          <w:p w:rsidR="0071280E" w:rsidRDefault="00BA2281">
            <w:pPr>
              <w:numPr>
                <w:ilvl w:val="0"/>
                <w:numId w:val="1"/>
              </w:numPr>
              <w:spacing w:after="0" w:line="480" w:lineRule="auto"/>
              <w:ind w:left="108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at least 3 levels of expectations, no more than 5 levels</w:t>
            </w:r>
          </w:p>
          <w:p w:rsidR="0071280E" w:rsidRDefault="00BA2281">
            <w:pPr>
              <w:numPr>
                <w:ilvl w:val="0"/>
                <w:numId w:val="1"/>
              </w:numPr>
              <w:spacing w:after="0" w:line="480" w:lineRule="auto"/>
              <w:ind w:left="1080" w:hanging="36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Label levels with names &amp; numbers</w:t>
            </w:r>
          </w:p>
          <w:p w:rsidR="0071280E" w:rsidRDefault="00BA2281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 willing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revisit rubric and revise to heighten effectiveness </w:t>
            </w:r>
          </w:p>
          <w:p w:rsidR="0071280E" w:rsidRDefault="00BA2281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Collaborate with other faculty in creating and revising rubrics</w:t>
            </w:r>
          </w:p>
          <w:p w:rsidR="0071280E" w:rsidRDefault="00BA2281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Tryout your rubric on examples of student’s best and worst work</w:t>
            </w:r>
          </w:p>
          <w:p w:rsidR="0071280E" w:rsidRDefault="00BA2281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Try MyMethodist rubrics</w:t>
            </w:r>
          </w:p>
        </w:tc>
      </w:tr>
    </w:tbl>
    <w:p w:rsidR="0071280E" w:rsidRDefault="0071280E">
      <w:pPr>
        <w:spacing w:after="0" w:line="480" w:lineRule="auto"/>
      </w:pPr>
    </w:p>
    <w:p w:rsidR="00AC147C" w:rsidRDefault="00AC147C">
      <w:pPr>
        <w:spacing w:after="0" w:line="480" w:lineRule="auto"/>
      </w:pPr>
    </w:p>
    <w:p w:rsidR="0071280E" w:rsidRDefault="00BA2281">
      <w:pPr>
        <w:spacing w:before="51" w:after="0" w:line="192" w:lineRule="auto"/>
      </w:pPr>
      <w:r>
        <w:rPr>
          <w:rFonts w:ascii="Arial" w:eastAsia="Arial" w:hAnsi="Arial" w:cs="Arial"/>
          <w:b/>
          <w:color w:val="17365D"/>
          <w:sz w:val="28"/>
          <w:szCs w:val="28"/>
        </w:rPr>
        <w:t>Resources for creating rubrics to facilitate learning:</w:t>
      </w:r>
    </w:p>
    <w:p w:rsidR="00BD2780" w:rsidRDefault="00BD2780">
      <w:pPr>
        <w:spacing w:before="51" w:after="0" w:line="192" w:lineRule="auto"/>
        <w:ind w:left="-90"/>
        <w:rPr>
          <w:color w:val="17365D"/>
          <w:sz w:val="25"/>
          <w:szCs w:val="25"/>
        </w:rPr>
      </w:pPr>
    </w:p>
    <w:p w:rsidR="0071280E" w:rsidRPr="00AC147C" w:rsidRDefault="00BA2281">
      <w:pPr>
        <w:spacing w:before="51" w:after="0" w:line="192" w:lineRule="auto"/>
        <w:ind w:left="-90"/>
      </w:pPr>
      <w:r w:rsidRPr="00AC147C">
        <w:rPr>
          <w:color w:val="17365D"/>
          <w:sz w:val="25"/>
          <w:szCs w:val="25"/>
        </w:rPr>
        <w:t xml:space="preserve">Almagno, S. (2016, February 15). Rubrics: An undervalued teaching tool [Effective Teaching </w:t>
      </w:r>
    </w:p>
    <w:p w:rsidR="0071280E" w:rsidRPr="00AC147C" w:rsidRDefault="00BA2281" w:rsidP="00AC147C">
      <w:pPr>
        <w:spacing w:after="0"/>
        <w:ind w:left="630"/>
        <w:rPr>
          <w:color w:val="17365D"/>
          <w:sz w:val="25"/>
          <w:szCs w:val="25"/>
        </w:rPr>
      </w:pPr>
      <w:r w:rsidRPr="00AC147C">
        <w:rPr>
          <w:color w:val="17365D"/>
          <w:sz w:val="25"/>
          <w:szCs w:val="25"/>
        </w:rPr>
        <w:t xml:space="preserve">Strategies RSS Feed]. Faculty Focus. Retrieved from </w:t>
      </w:r>
      <w:hyperlink r:id="rId5" w:history="1">
        <w:r w:rsidR="00AC147C" w:rsidRPr="000C091D">
          <w:rPr>
            <w:rStyle w:val="Hyperlink"/>
            <w:sz w:val="25"/>
            <w:szCs w:val="25"/>
          </w:rPr>
          <w:t>http://www.faculty</w:t>
        </w:r>
        <w:r w:rsidR="00AC147C" w:rsidRPr="000C091D">
          <w:rPr>
            <w:rStyle w:val="Hyperlink"/>
            <w:sz w:val="25"/>
            <w:szCs w:val="25"/>
          </w:rPr>
          <w:t>f</w:t>
        </w:r>
        <w:r w:rsidR="00AC147C" w:rsidRPr="000C091D">
          <w:rPr>
            <w:rStyle w:val="Hyperlink"/>
            <w:sz w:val="25"/>
            <w:szCs w:val="25"/>
          </w:rPr>
          <w:t>ocus.com/articles/effective-teaching-strategies/rubrics-an-undervalued-teaching-tool/</w:t>
        </w:r>
      </w:hyperlink>
      <w:r w:rsidR="00AC147C">
        <w:rPr>
          <w:color w:val="17365D"/>
          <w:sz w:val="25"/>
          <w:szCs w:val="25"/>
        </w:rPr>
        <w:t xml:space="preserve"> </w:t>
      </w:r>
    </w:p>
    <w:p w:rsidR="0071280E" w:rsidRDefault="00BA2281">
      <w:pPr>
        <w:spacing w:before="51" w:after="0" w:line="192" w:lineRule="auto"/>
      </w:pPr>
      <w:r>
        <w:rPr>
          <w:color w:val="17365D"/>
          <w:sz w:val="25"/>
          <w:szCs w:val="25"/>
        </w:rPr>
        <w:t xml:space="preserve">Andrade, H. G. (2000). Using rubrics to promote thinking and learning. </w:t>
      </w:r>
      <w:r>
        <w:rPr>
          <w:i/>
          <w:color w:val="17365D"/>
          <w:sz w:val="25"/>
          <w:szCs w:val="25"/>
        </w:rPr>
        <w:t xml:space="preserve">Educational </w:t>
      </w:r>
    </w:p>
    <w:p w:rsidR="0071280E" w:rsidRDefault="00BA2281">
      <w:pPr>
        <w:spacing w:before="51" w:after="0" w:line="192" w:lineRule="auto"/>
        <w:ind w:firstLine="720"/>
      </w:pPr>
      <w:r>
        <w:rPr>
          <w:i/>
          <w:color w:val="17365D"/>
          <w:sz w:val="25"/>
          <w:szCs w:val="25"/>
        </w:rPr>
        <w:t xml:space="preserve">Leadership, </w:t>
      </w:r>
      <w:r>
        <w:rPr>
          <w:color w:val="17365D"/>
          <w:sz w:val="25"/>
          <w:szCs w:val="25"/>
        </w:rPr>
        <w:t>57(5), 13-18.</w:t>
      </w:r>
    </w:p>
    <w:p w:rsidR="0071280E" w:rsidRDefault="00BA2281">
      <w:pPr>
        <w:spacing w:before="51" w:after="0" w:line="192" w:lineRule="auto"/>
      </w:pPr>
      <w:r>
        <w:rPr>
          <w:color w:val="17365D"/>
          <w:sz w:val="25"/>
          <w:szCs w:val="25"/>
        </w:rPr>
        <w:t xml:space="preserve">Stevens, D. D., &amp; Levi, A. J. (2005). </w:t>
      </w:r>
      <w:r>
        <w:rPr>
          <w:i/>
          <w:color w:val="17365D"/>
          <w:sz w:val="25"/>
          <w:szCs w:val="25"/>
        </w:rPr>
        <w:t xml:space="preserve">Introduction to rubrics: An assessment tool to save </w:t>
      </w:r>
    </w:p>
    <w:p w:rsidR="0071280E" w:rsidRDefault="00BA2281">
      <w:pPr>
        <w:spacing w:before="51" w:after="0" w:line="192" w:lineRule="auto"/>
        <w:ind w:firstLine="720"/>
      </w:pPr>
      <w:r>
        <w:rPr>
          <w:i/>
          <w:color w:val="17365D"/>
          <w:sz w:val="25"/>
          <w:szCs w:val="25"/>
        </w:rPr>
        <w:t xml:space="preserve">grading time, convey effective feedback and promote student learning. </w:t>
      </w:r>
      <w:r>
        <w:rPr>
          <w:color w:val="17365D"/>
          <w:sz w:val="25"/>
          <w:szCs w:val="25"/>
        </w:rPr>
        <w:t xml:space="preserve">Sterling, </w:t>
      </w:r>
    </w:p>
    <w:p w:rsidR="0071280E" w:rsidRDefault="00BA2281">
      <w:pPr>
        <w:spacing w:before="51" w:after="0" w:line="192" w:lineRule="auto"/>
        <w:ind w:left="720"/>
      </w:pPr>
      <w:r>
        <w:rPr>
          <w:color w:val="17365D"/>
          <w:sz w:val="25"/>
          <w:szCs w:val="25"/>
        </w:rPr>
        <w:t>VA: Stylus.</w:t>
      </w:r>
    </w:p>
    <w:p w:rsidR="0071280E" w:rsidRDefault="00BA2281">
      <w:pPr>
        <w:spacing w:before="51" w:after="0" w:line="192" w:lineRule="auto"/>
      </w:pPr>
      <w:r>
        <w:rPr>
          <w:color w:val="17365D"/>
          <w:sz w:val="25"/>
          <w:szCs w:val="25"/>
        </w:rPr>
        <w:t xml:space="preserve">Suskie, L. (2009). Using a scoring guide or rubric to plan and evaluate an assignment. In </w:t>
      </w:r>
    </w:p>
    <w:p w:rsidR="0071280E" w:rsidRDefault="00BA2281">
      <w:pPr>
        <w:spacing w:before="51" w:after="0" w:line="192" w:lineRule="auto"/>
        <w:ind w:firstLine="720"/>
      </w:pPr>
      <w:r>
        <w:rPr>
          <w:i/>
          <w:color w:val="17365D"/>
          <w:sz w:val="25"/>
          <w:szCs w:val="25"/>
        </w:rPr>
        <w:t>Assessing student learning: A common sense guide</w:t>
      </w:r>
      <w:r>
        <w:rPr>
          <w:color w:val="17365D"/>
          <w:sz w:val="25"/>
          <w:szCs w:val="25"/>
        </w:rPr>
        <w:t xml:space="preserve"> (pp. 137-154). San Fran</w:t>
      </w:r>
      <w:r>
        <w:rPr>
          <w:color w:val="17365D"/>
          <w:sz w:val="25"/>
          <w:szCs w:val="25"/>
        </w:rPr>
        <w:t xml:space="preserve">cisco, </w:t>
      </w:r>
    </w:p>
    <w:p w:rsidR="0071280E" w:rsidRDefault="00BA2281">
      <w:pPr>
        <w:spacing w:before="51" w:after="0" w:line="192" w:lineRule="auto"/>
        <w:ind w:firstLine="720"/>
      </w:pPr>
      <w:r>
        <w:rPr>
          <w:color w:val="17365D"/>
          <w:sz w:val="25"/>
          <w:szCs w:val="25"/>
        </w:rPr>
        <w:t>CA: Jossey-Bass.</w:t>
      </w:r>
    </w:p>
    <w:p w:rsidR="0071280E" w:rsidRDefault="00BA2281">
      <w:pPr>
        <w:spacing w:before="51" w:after="0" w:line="192" w:lineRule="auto"/>
      </w:pPr>
      <w:r>
        <w:rPr>
          <w:color w:val="17365D"/>
          <w:sz w:val="25"/>
          <w:szCs w:val="25"/>
        </w:rPr>
        <w:t xml:space="preserve">Wiggins, G. (2012). Seven keys to effective feedback. </w:t>
      </w:r>
      <w:r>
        <w:rPr>
          <w:i/>
          <w:color w:val="17365D"/>
          <w:sz w:val="25"/>
          <w:szCs w:val="25"/>
        </w:rPr>
        <w:t>Educational Leadership, 70</w:t>
      </w:r>
      <w:r>
        <w:rPr>
          <w:color w:val="17365D"/>
          <w:sz w:val="25"/>
          <w:szCs w:val="25"/>
        </w:rPr>
        <w:t>(1), 10-16.</w:t>
      </w:r>
    </w:p>
    <w:p w:rsidR="0071280E" w:rsidRDefault="0071280E">
      <w:pPr>
        <w:spacing w:before="51" w:after="0" w:line="192" w:lineRule="auto"/>
      </w:pPr>
    </w:p>
    <w:p w:rsidR="00BD2780" w:rsidRDefault="00BD2780">
      <w:pPr>
        <w:spacing w:before="51" w:after="0" w:line="192" w:lineRule="auto"/>
        <w:rPr>
          <w:rFonts w:ascii="Arial" w:eastAsia="Arial" w:hAnsi="Arial" w:cs="Arial"/>
          <w:b/>
          <w:color w:val="17365D"/>
          <w:sz w:val="28"/>
          <w:szCs w:val="28"/>
        </w:rPr>
      </w:pPr>
    </w:p>
    <w:p w:rsidR="0071280E" w:rsidRDefault="00BD2780">
      <w:pPr>
        <w:spacing w:before="51" w:after="0" w:line="192" w:lineRule="auto"/>
      </w:pPr>
      <w:r>
        <w:rPr>
          <w:rFonts w:ascii="Arial" w:eastAsia="Arial" w:hAnsi="Arial" w:cs="Arial"/>
          <w:b/>
          <w:color w:val="17365D"/>
          <w:sz w:val="28"/>
          <w:szCs w:val="28"/>
        </w:rPr>
        <w:t>Additional r</w:t>
      </w:r>
      <w:r w:rsidR="00BA2281">
        <w:rPr>
          <w:rFonts w:ascii="Arial" w:eastAsia="Arial" w:hAnsi="Arial" w:cs="Arial"/>
          <w:b/>
          <w:color w:val="17365D"/>
          <w:sz w:val="28"/>
          <w:szCs w:val="28"/>
        </w:rPr>
        <w:t>eferences</w:t>
      </w:r>
      <w:r>
        <w:rPr>
          <w:rFonts w:ascii="Arial" w:eastAsia="Arial" w:hAnsi="Arial" w:cs="Arial"/>
          <w:b/>
          <w:color w:val="17365D"/>
          <w:sz w:val="28"/>
          <w:szCs w:val="28"/>
        </w:rPr>
        <w:t>:</w:t>
      </w:r>
    </w:p>
    <w:p w:rsidR="00BD2780" w:rsidRDefault="00BD2780">
      <w:pPr>
        <w:spacing w:before="51" w:after="0" w:line="192" w:lineRule="auto"/>
        <w:rPr>
          <w:color w:val="17365D"/>
          <w:sz w:val="25"/>
          <w:szCs w:val="25"/>
        </w:rPr>
      </w:pPr>
    </w:p>
    <w:p w:rsidR="0071280E" w:rsidRDefault="00BA2281">
      <w:pPr>
        <w:spacing w:before="51" w:after="0" w:line="192" w:lineRule="auto"/>
      </w:pPr>
      <w:r>
        <w:rPr>
          <w:color w:val="17365D"/>
          <w:sz w:val="25"/>
          <w:szCs w:val="25"/>
        </w:rPr>
        <w:t xml:space="preserve">He, X. &amp; Canty, A. (2012). Empowering student learning through rubric-referenced </w:t>
      </w:r>
    </w:p>
    <w:p w:rsidR="0071280E" w:rsidRDefault="00BA2281">
      <w:pPr>
        <w:spacing w:before="51" w:after="0" w:line="192" w:lineRule="auto"/>
        <w:ind w:firstLine="720"/>
      </w:pPr>
      <w:r>
        <w:rPr>
          <w:color w:val="17365D"/>
          <w:sz w:val="25"/>
          <w:szCs w:val="25"/>
        </w:rPr>
        <w:t xml:space="preserve">self-assessment. </w:t>
      </w:r>
      <w:r>
        <w:rPr>
          <w:i/>
          <w:color w:val="17365D"/>
          <w:sz w:val="25"/>
          <w:szCs w:val="25"/>
        </w:rPr>
        <w:t>The Journal of Chiropractic Education. 26</w:t>
      </w:r>
      <w:r>
        <w:rPr>
          <w:color w:val="17365D"/>
          <w:sz w:val="25"/>
          <w:szCs w:val="25"/>
        </w:rPr>
        <w:t>(1), 24-31.</w:t>
      </w:r>
    </w:p>
    <w:p w:rsidR="0071280E" w:rsidRDefault="00BA2281">
      <w:pPr>
        <w:spacing w:before="51" w:after="0" w:line="192" w:lineRule="auto"/>
      </w:pPr>
      <w:r>
        <w:rPr>
          <w:color w:val="17365D"/>
          <w:sz w:val="25"/>
          <w:szCs w:val="25"/>
        </w:rPr>
        <w:t xml:space="preserve">Howell, R. J. (2013). Grading rubrics: Hoopla or help? </w:t>
      </w:r>
      <w:r>
        <w:rPr>
          <w:i/>
          <w:color w:val="17365D"/>
          <w:sz w:val="25"/>
          <w:szCs w:val="25"/>
        </w:rPr>
        <w:t xml:space="preserve">Innovations in Education and </w:t>
      </w:r>
    </w:p>
    <w:p w:rsidR="0071280E" w:rsidRDefault="00BA2281">
      <w:pPr>
        <w:spacing w:before="51" w:after="0" w:line="192" w:lineRule="auto"/>
        <w:ind w:firstLine="720"/>
      </w:pPr>
      <w:r>
        <w:rPr>
          <w:i/>
          <w:color w:val="17365D"/>
          <w:sz w:val="25"/>
          <w:szCs w:val="25"/>
        </w:rPr>
        <w:t>Teaching International, 51</w:t>
      </w:r>
      <w:r>
        <w:rPr>
          <w:color w:val="17365D"/>
          <w:sz w:val="25"/>
          <w:szCs w:val="25"/>
        </w:rPr>
        <w:t>(4), 400-410. doi:10.1080/14703297.2013.785252</w:t>
      </w:r>
    </w:p>
    <w:p w:rsidR="0071280E" w:rsidRDefault="00BA2281">
      <w:pPr>
        <w:spacing w:before="51" w:after="0" w:line="192" w:lineRule="auto"/>
      </w:pPr>
      <w:r>
        <w:rPr>
          <w:color w:val="17365D"/>
          <w:sz w:val="25"/>
          <w:szCs w:val="25"/>
        </w:rPr>
        <w:t>Malini Reddy, Y. &amp; Andrade, H. (2010). A revi</w:t>
      </w:r>
      <w:r>
        <w:rPr>
          <w:color w:val="17365D"/>
          <w:sz w:val="25"/>
          <w:szCs w:val="25"/>
        </w:rPr>
        <w:t xml:space="preserve">ew of rubric use in higher education. </w:t>
      </w:r>
    </w:p>
    <w:p w:rsidR="0071280E" w:rsidRDefault="00BA2281">
      <w:pPr>
        <w:spacing w:before="51" w:after="0" w:line="192" w:lineRule="auto"/>
        <w:ind w:firstLine="720"/>
      </w:pPr>
      <w:r>
        <w:rPr>
          <w:i/>
          <w:color w:val="17365D"/>
          <w:sz w:val="25"/>
          <w:szCs w:val="25"/>
        </w:rPr>
        <w:t>Assessment and Evaluation in Higher Education. 35</w:t>
      </w:r>
      <w:r>
        <w:rPr>
          <w:color w:val="17365D"/>
          <w:sz w:val="25"/>
          <w:szCs w:val="25"/>
        </w:rPr>
        <w:t xml:space="preserve">(4), 235-248. </w:t>
      </w:r>
    </w:p>
    <w:p w:rsidR="0071280E" w:rsidRDefault="00BA2281">
      <w:pPr>
        <w:spacing w:before="51" w:after="0" w:line="192" w:lineRule="auto"/>
        <w:ind w:firstLine="720"/>
      </w:pPr>
      <w:r>
        <w:rPr>
          <w:color w:val="17365D"/>
          <w:sz w:val="25"/>
          <w:szCs w:val="25"/>
        </w:rPr>
        <w:t>DOI: 10.1080/02602930902862859</w:t>
      </w:r>
    </w:p>
    <w:p w:rsidR="0071280E" w:rsidRDefault="00BA2281">
      <w:pPr>
        <w:spacing w:before="51" w:after="0" w:line="192" w:lineRule="auto"/>
      </w:pPr>
      <w:r>
        <w:rPr>
          <w:color w:val="17365D"/>
          <w:sz w:val="25"/>
          <w:szCs w:val="25"/>
        </w:rPr>
        <w:t xml:space="preserve">Penner, I. S. (2013). Comparison of effects of cognitive level and quality writing </w:t>
      </w:r>
    </w:p>
    <w:p w:rsidR="0071280E" w:rsidRDefault="00BA2281">
      <w:pPr>
        <w:spacing w:before="51" w:after="0" w:line="192" w:lineRule="auto"/>
        <w:ind w:firstLine="720"/>
      </w:pPr>
      <w:r>
        <w:rPr>
          <w:color w:val="17365D"/>
          <w:sz w:val="25"/>
          <w:szCs w:val="25"/>
        </w:rPr>
        <w:t>assessment (CLAQWA) rubric on freshman</w:t>
      </w:r>
      <w:r>
        <w:rPr>
          <w:color w:val="17365D"/>
          <w:sz w:val="25"/>
          <w:szCs w:val="25"/>
        </w:rPr>
        <w:t xml:space="preserve"> college student writing. </w:t>
      </w:r>
      <w:r>
        <w:rPr>
          <w:i/>
          <w:color w:val="17365D"/>
          <w:sz w:val="25"/>
          <w:szCs w:val="25"/>
        </w:rPr>
        <w:t xml:space="preserve">College Student </w:t>
      </w:r>
    </w:p>
    <w:p w:rsidR="0071280E" w:rsidRDefault="00BA2281">
      <w:pPr>
        <w:spacing w:before="51" w:after="0" w:line="192" w:lineRule="auto"/>
        <w:ind w:left="720"/>
      </w:pPr>
      <w:r>
        <w:rPr>
          <w:i/>
          <w:color w:val="17365D"/>
          <w:sz w:val="25"/>
          <w:szCs w:val="25"/>
        </w:rPr>
        <w:t>Journal</w:t>
      </w:r>
      <w:r>
        <w:rPr>
          <w:color w:val="17365D"/>
          <w:sz w:val="25"/>
          <w:szCs w:val="25"/>
        </w:rPr>
        <w:t xml:space="preserve">, </w:t>
      </w:r>
      <w:r>
        <w:rPr>
          <w:i/>
          <w:color w:val="17365D"/>
          <w:sz w:val="25"/>
          <w:szCs w:val="25"/>
        </w:rPr>
        <w:t>47</w:t>
      </w:r>
      <w:r>
        <w:rPr>
          <w:color w:val="17365D"/>
          <w:sz w:val="25"/>
          <w:szCs w:val="25"/>
        </w:rPr>
        <w:t>(3), 447-461.</w:t>
      </w:r>
    </w:p>
    <w:p w:rsidR="0071280E" w:rsidRDefault="00BA2281">
      <w:pPr>
        <w:spacing w:before="51" w:after="0" w:line="192" w:lineRule="auto"/>
      </w:pPr>
      <w:r>
        <w:rPr>
          <w:color w:val="17365D"/>
          <w:sz w:val="25"/>
          <w:szCs w:val="25"/>
        </w:rPr>
        <w:t xml:space="preserve">Rosenberg, H., &amp; Marks, L. (2016). Challenges in developing a rubric to assess </w:t>
      </w:r>
    </w:p>
    <w:p w:rsidR="0071280E" w:rsidRDefault="00BA2281">
      <w:pPr>
        <w:spacing w:before="51" w:after="0" w:line="192" w:lineRule="auto"/>
        <w:ind w:firstLine="720"/>
      </w:pPr>
      <w:r>
        <w:rPr>
          <w:color w:val="17365D"/>
          <w:sz w:val="25"/>
          <w:szCs w:val="25"/>
        </w:rPr>
        <w:t xml:space="preserve">community-based learning. </w:t>
      </w:r>
      <w:r>
        <w:rPr>
          <w:i/>
          <w:color w:val="17365D"/>
          <w:sz w:val="25"/>
          <w:szCs w:val="25"/>
        </w:rPr>
        <w:t>Assessment Update, 28</w:t>
      </w:r>
      <w:r>
        <w:rPr>
          <w:color w:val="17365D"/>
          <w:sz w:val="25"/>
          <w:szCs w:val="25"/>
        </w:rPr>
        <w:t xml:space="preserve">(3), 8-12. </w:t>
      </w:r>
    </w:p>
    <w:p w:rsidR="0071280E" w:rsidRDefault="00BA2281">
      <w:pPr>
        <w:spacing w:before="51" w:after="0" w:line="192" w:lineRule="auto"/>
      </w:pPr>
      <w:r>
        <w:rPr>
          <w:color w:val="17365D"/>
          <w:sz w:val="25"/>
          <w:szCs w:val="25"/>
        </w:rPr>
        <w:t>Trenary, A., &amp; Farrar, H. (2016). Use of a profes</w:t>
      </w:r>
      <w:r>
        <w:rPr>
          <w:color w:val="17365D"/>
          <w:sz w:val="25"/>
          <w:szCs w:val="25"/>
        </w:rPr>
        <w:t xml:space="preserve">sional writing rubric as a teaching strategy </w:t>
      </w:r>
    </w:p>
    <w:p w:rsidR="0071280E" w:rsidRDefault="00BA2281">
      <w:pPr>
        <w:spacing w:before="51" w:after="0" w:line="192" w:lineRule="auto"/>
        <w:ind w:firstLine="720"/>
      </w:pPr>
      <w:r>
        <w:rPr>
          <w:color w:val="17365D"/>
          <w:sz w:val="25"/>
          <w:szCs w:val="25"/>
        </w:rPr>
        <w:t xml:space="preserve">to improve scholarly writing.  </w:t>
      </w:r>
      <w:r>
        <w:rPr>
          <w:i/>
          <w:color w:val="17365D"/>
          <w:sz w:val="25"/>
          <w:szCs w:val="25"/>
        </w:rPr>
        <w:t>The Oklahoma Nurse</w:t>
      </w:r>
      <w:r>
        <w:rPr>
          <w:color w:val="17365D"/>
          <w:sz w:val="25"/>
          <w:szCs w:val="25"/>
        </w:rPr>
        <w:t>, pp. 12-13.</w:t>
      </w:r>
    </w:p>
    <w:p w:rsidR="0071280E" w:rsidRDefault="0071280E">
      <w:pPr>
        <w:spacing w:before="51" w:after="0" w:line="192" w:lineRule="auto"/>
        <w:ind w:firstLine="720"/>
      </w:pPr>
    </w:p>
    <w:p w:rsidR="0071280E" w:rsidRDefault="0071280E">
      <w:pPr>
        <w:spacing w:before="51" w:after="0" w:line="192" w:lineRule="auto"/>
      </w:pPr>
    </w:p>
    <w:sectPr w:rsidR="007128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245"/>
    <w:multiLevelType w:val="multilevel"/>
    <w:tmpl w:val="04A238A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48B63D3A"/>
    <w:multiLevelType w:val="multilevel"/>
    <w:tmpl w:val="566853E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1280E"/>
    <w:rsid w:val="0071280E"/>
    <w:rsid w:val="00AC147C"/>
    <w:rsid w:val="00B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C924B-D612-4527-9B51-4A1BBA70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14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4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ultyfocus.com/articles/effective-teaching-strategies/rubrics-an-undervalued-teaching-t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2017-02-20T15:03:00Z</cp:lastPrinted>
  <dcterms:created xsi:type="dcterms:W3CDTF">2017-02-20T14:44:00Z</dcterms:created>
</cp:coreProperties>
</file>